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b/>
          <w:bCs/>
          <w:color w:val="FF0000"/>
          <w:sz w:val="36"/>
          <w:szCs w:val="36"/>
          <w:lang w:eastAsia="zh-CN"/>
        </w:rPr>
      </w:pPr>
      <w:r>
        <w:rPr>
          <w:rFonts w:hint="eastAsia" w:ascii="宋体" w:hAnsi="宋体" w:eastAsia="宋体" w:cs="宋体"/>
          <w:b/>
          <w:bCs/>
          <w:color w:val="FF0000"/>
          <w:sz w:val="36"/>
          <w:szCs w:val="36"/>
          <w:lang w:val="en-US" w:eastAsia="zh-CN"/>
        </w:rPr>
        <w:t>注意：</w:t>
      </w:r>
      <w:r>
        <w:rPr>
          <w:rFonts w:ascii="宋体" w:hAnsi="宋体" w:eastAsia="宋体" w:cs="宋体"/>
          <w:b/>
          <w:bCs/>
          <w:color w:val="FF0000"/>
          <w:sz w:val="36"/>
          <w:szCs w:val="36"/>
        </w:rPr>
        <w:t>云考场2.0的考生们每天可以接收的短信次数限制为5次</w:t>
      </w:r>
      <w:r>
        <w:rPr>
          <w:rFonts w:hint="eastAsia" w:ascii="宋体" w:hAnsi="宋体" w:eastAsia="宋体" w:cs="宋体"/>
          <w:b/>
          <w:bCs/>
          <w:color w:val="FF0000"/>
          <w:sz w:val="36"/>
          <w:szCs w:val="36"/>
          <w:lang w:eastAsia="zh-CN"/>
        </w:rPr>
        <w:t>，</w:t>
      </w:r>
      <w:r>
        <w:rPr>
          <w:rFonts w:hint="eastAsia" w:ascii="宋体" w:hAnsi="宋体" w:eastAsia="宋体" w:cs="宋体"/>
          <w:b/>
          <w:bCs/>
          <w:color w:val="FF0000"/>
          <w:sz w:val="36"/>
          <w:szCs w:val="36"/>
          <w:lang w:val="en-US" w:eastAsia="zh-CN"/>
        </w:rPr>
        <w:t>超过将登陆不了。</w:t>
      </w:r>
      <w:bookmarkStart w:id="23" w:name="_GoBack"/>
      <w:bookmarkEnd w:id="23"/>
      <w:r>
        <w:rPr>
          <w:rFonts w:hint="eastAsia" w:ascii="宋体" w:hAnsi="宋体" w:eastAsia="宋体" w:cs="宋体"/>
          <w:b/>
          <w:bCs/>
          <w:color w:val="FF0000"/>
          <w:sz w:val="36"/>
          <w:szCs w:val="36"/>
          <w:lang w:val="en-US" w:eastAsia="zh-CN"/>
        </w:rPr>
        <w:t>请考生不要频繁登陆云考场</w:t>
      </w:r>
      <w:r>
        <w:rPr>
          <w:rFonts w:hint="eastAsia" w:ascii="宋体" w:hAnsi="宋体" w:eastAsia="宋体" w:cs="宋体"/>
          <w:b/>
          <w:bCs/>
          <w:color w:val="FF0000"/>
          <w:sz w:val="36"/>
          <w:szCs w:val="36"/>
          <w:lang w:eastAsia="zh-CN"/>
        </w:rPr>
        <w:t>。</w:t>
      </w: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ascii="微软雅黑" w:hAnsi="微软雅黑" w:cs="微软雅黑"/>
          <w:sz w:val="32"/>
          <w:szCs w:val="32"/>
        </w:rPr>
      </w:pPr>
      <w:r>
        <w:rPr>
          <w:rFonts w:ascii="微软雅黑" w:hAnsi="微软雅黑" w:cs="微软雅黑"/>
          <w:sz w:val="32"/>
          <w:szCs w:val="32"/>
        </w:rPr>
        <w:t>修订时间：02.23</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1430503491"/>
        <w:docPartObj>
          <w:docPartGallery w:val="Table of Contents"/>
          <w:docPartUnique/>
        </w:docPartObj>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6"/>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6"/>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6"/>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6"/>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6"/>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6"/>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6"/>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6"/>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6"/>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6"/>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6"/>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6"/>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6"/>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6"/>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6"/>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6"/>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6"/>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6"/>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6"/>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6"/>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6"/>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6"/>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r>
        <w:rPr>
          <w:rFonts w:hint="eastAsia"/>
        </w:rPr>
        <w:t>考生考官支持使用web或客户端进行笔试（功能相同，本说明以web端为例）</w:t>
      </w:r>
    </w:p>
    <w:p>
      <w:r>
        <w:rPr>
          <w:rFonts w:hint="eastAsia"/>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3"/>
      <w:r>
        <w:rPr>
          <w:rFonts w:hint="eastAsia"/>
        </w:rPr>
        <w:t>1</w:t>
      </w:r>
      <w:r>
        <w:t>.5</w:t>
      </w:r>
      <w:r>
        <w:rPr>
          <w:rFonts w:hint="eastAsia"/>
        </w:rPr>
        <w:t>考生缴费</w:t>
      </w:r>
      <w:bookmarkEnd w:id="5"/>
    </w:p>
    <w:p>
      <w:pPr>
        <w:pStyle w:val="2"/>
        <w:numPr>
          <w:ilvl w:val="0"/>
          <w:numId w:val="7"/>
        </w:numPr>
      </w:pPr>
      <w:r>
        <w:rPr>
          <w:rFonts w:hint="eastAsia"/>
        </w:rPr>
        <w:t>当专业需要缴费时，会显示考生的缴费状态，不需要收费则不显示</w:t>
      </w:r>
    </w:p>
    <w:p>
      <w:pPr>
        <w:pStyle w:val="2"/>
        <w:numPr>
          <w:ilvl w:val="0"/>
          <w:numId w:val="7"/>
        </w:numPr>
      </w:pPr>
      <w:r>
        <w:rPr>
          <w:rFonts w:hint="eastAsia"/>
        </w:rPr>
        <w:t>若未缴费，考生需要点击“去缴费”按钮进行缴费</w:t>
      </w:r>
    </w:p>
    <w:p>
      <w:pPr>
        <w:pStyle w:val="2"/>
        <w:jc w:val="center"/>
      </w:pPr>
      <w: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3"/>
                    <a:stretch>
                      <a:fillRect/>
                    </a:stretch>
                  </pic:blipFill>
                  <pic:spPr>
                    <a:xfrm>
                      <a:off x="0" y="0"/>
                      <a:ext cx="5266690" cy="3291840"/>
                    </a:xfrm>
                    <a:prstGeom prst="rect">
                      <a:avLst/>
                    </a:prstGeom>
                  </pic:spPr>
                </pic:pic>
              </a:graphicData>
            </a:graphic>
          </wp:inline>
        </w:drawing>
      </w:r>
    </w:p>
    <w:p>
      <w:pPr>
        <w:pStyle w:val="2"/>
        <w:numPr>
          <w:ilvl w:val="0"/>
          <w:numId w:val="7"/>
        </w:numPr>
      </w:pPr>
      <w:r>
        <w:rPr>
          <w:rFonts w:hint="eastAsia"/>
        </w:rPr>
        <w:t>考生使用微信扫描二维码即可</w:t>
      </w:r>
    </w:p>
    <w:p>
      <w:pPr>
        <w:pStyle w:val="2"/>
        <w:jc w:val="center"/>
      </w:pPr>
      <w: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7960" cy="3280410"/>
                    </a:xfrm>
                    <a:prstGeom prst="rect">
                      <a:avLst/>
                    </a:prstGeom>
                    <a:noFill/>
                    <a:ln>
                      <a:noFill/>
                    </a:ln>
                  </pic:spPr>
                </pic:pic>
              </a:graphicData>
            </a:graphic>
          </wp:inline>
        </w:drawing>
      </w:r>
    </w:p>
    <w:p>
      <w:pPr>
        <w:pStyle w:val="2"/>
        <w:numPr>
          <w:ilvl w:val="0"/>
          <w:numId w:val="7"/>
        </w:numPr>
      </w:pPr>
      <w:r>
        <w:rPr>
          <w:rFonts w:hint="eastAsia"/>
        </w:rPr>
        <w:t>支付完成后，请点击“支付完成”按钮，若系统检测到你已经支付成功，则可进入该专业</w:t>
      </w:r>
    </w:p>
    <w:p>
      <w:pPr>
        <w:pStyle w:val="2"/>
        <w:numPr>
          <w:ilvl w:val="0"/>
          <w:numId w:val="7"/>
        </w:numPr>
      </w:pPr>
      <w:r>
        <w:rPr>
          <w:rFonts w:hint="eastAsia"/>
        </w:rPr>
        <w:t>若考生已支付，但仍提示未交费，可能是网速原因导致，请稍后再登录查看</w:t>
      </w:r>
    </w:p>
    <w:p>
      <w:pPr>
        <w:pStyle w:val="2"/>
        <w:jc w:val="center"/>
      </w:pPr>
      <w:r>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pStyle w:val="4"/>
      </w:pPr>
      <w:bookmarkStart w:id="6" w:name="_Toc64987034"/>
      <w:r>
        <w:rPr>
          <w:rFonts w:hint="eastAsia"/>
        </w:rPr>
        <w:t>1</w:t>
      </w:r>
      <w:r>
        <w:t>.6</w:t>
      </w:r>
      <w:r>
        <w:rPr>
          <w:rFonts w:hint="eastAsia"/>
        </w:rPr>
        <w:t>下载移动客户端</w:t>
      </w:r>
      <w:bookmarkEnd w:id="6"/>
    </w:p>
    <w:p>
      <w:pPr>
        <w:numPr>
          <w:ilvl w:val="0"/>
          <w:numId w:val="8"/>
        </w:numPr>
        <w:jc w:val="left"/>
      </w:pPr>
      <w:r>
        <w:rPr>
          <w:rFonts w:hint="eastAsia"/>
        </w:rPr>
        <w:t>使用智能手机打开浏览器扫描二维码，或登录官网进行下载https://ykc-download.hanwangjiaoyu.com/v2</w:t>
      </w:r>
    </w:p>
    <w:p>
      <w:pPr>
        <w:jc w:val="center"/>
      </w:pPr>
      <w:r>
        <w:drawing>
          <wp:inline distT="0" distB="0" distL="114300" distR="114300">
            <wp:extent cx="5266690" cy="2570480"/>
            <wp:effectExtent l="0" t="0" r="10160"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8"/>
        </w:numPr>
      </w:pPr>
      <w:r>
        <w:rPr>
          <w:rFonts w:hint="eastAsia"/>
        </w:rPr>
        <w:t>根据步骤进行安装</w:t>
      </w:r>
    </w:p>
    <w:p>
      <w:pPr>
        <w:pStyle w:val="4"/>
      </w:pPr>
      <w:bookmarkStart w:id="7" w:name="_Toc64987035"/>
      <w:r>
        <w:rPr>
          <w:rFonts w:hint="eastAsia"/>
        </w:rPr>
        <w:t>1</w:t>
      </w:r>
      <w:r>
        <w:t>.7</w:t>
      </w:r>
      <w:r>
        <w:rPr>
          <w:rFonts w:hint="eastAsia"/>
        </w:rPr>
        <w:t>查看学校、专业公告</w:t>
      </w:r>
      <w:bookmarkEnd w:id="7"/>
    </w:p>
    <w:p>
      <w:pPr>
        <w:numPr>
          <w:ilvl w:val="0"/>
          <w:numId w:val="9"/>
        </w:numPr>
      </w:pPr>
      <w:r>
        <w:rPr>
          <w:rFonts w:hint="eastAsia"/>
        </w:rPr>
        <w:t>通过学校、专业公告了解考试要求</w:t>
      </w:r>
    </w:p>
    <w:p>
      <w:pPr>
        <w:jc w:val="center"/>
      </w:pPr>
      <w:r>
        <w:drawing>
          <wp:inline distT="0" distB="0" distL="114300" distR="114300">
            <wp:extent cx="5266690" cy="2570480"/>
            <wp:effectExtent l="0" t="0" r="1016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4"/>
      </w:pPr>
      <w:bookmarkStart w:id="8" w:name="_Toc64987036"/>
      <w:r>
        <w:rPr>
          <w:rFonts w:hint="eastAsia"/>
        </w:rPr>
        <w:t>1</w:t>
      </w:r>
      <w:r>
        <w:t>.8</w:t>
      </w:r>
      <w:r>
        <w:rPr>
          <w:rFonts w:hint="eastAsia"/>
        </w:rPr>
        <w:t>考生信息审核（若考试流程中没有设置该步骤则不会显示）</w:t>
      </w:r>
      <w:bookmarkEnd w:id="8"/>
    </w:p>
    <w:p>
      <w:pPr>
        <w:numPr>
          <w:ilvl w:val="0"/>
          <w:numId w:val="10"/>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10"/>
        </w:numPr>
      </w:pPr>
      <w:r>
        <w:rPr>
          <w:rFonts w:hint="eastAsia"/>
        </w:rPr>
        <w:t>等待学校管理员审核</w:t>
      </w:r>
    </w:p>
    <w:p>
      <w:pPr>
        <w:numPr>
          <w:ilvl w:val="0"/>
          <w:numId w:val="10"/>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9230" cy="1478915"/>
                    </a:xfrm>
                    <a:prstGeom prst="rect">
                      <a:avLst/>
                    </a:prstGeom>
                    <a:noFill/>
                    <a:ln>
                      <a:noFill/>
                    </a:ln>
                  </pic:spPr>
                </pic:pic>
              </a:graphicData>
            </a:graphic>
          </wp:inline>
        </w:drawing>
      </w:r>
    </w:p>
    <w:p>
      <w:pPr>
        <w:pStyle w:val="4"/>
      </w:pPr>
      <w:bookmarkStart w:id="9" w:name="_Toc64987037"/>
      <w:r>
        <w:rPr>
          <w:rFonts w:hint="eastAsia"/>
        </w:rPr>
        <w:t>1</w:t>
      </w:r>
      <w:r>
        <w:t>.9</w:t>
      </w:r>
      <w:r>
        <w:rPr>
          <w:rFonts w:hint="eastAsia"/>
        </w:rPr>
        <w:t>核对考场</w:t>
      </w:r>
      <w:bookmarkEnd w:id="9"/>
    </w:p>
    <w:p>
      <w:pPr>
        <w:numPr>
          <w:ilvl w:val="0"/>
          <w:numId w:val="11"/>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0"/>
                    <a:stretch>
                      <a:fillRect/>
                    </a:stretch>
                  </pic:blipFill>
                  <pic:spPr>
                    <a:xfrm>
                      <a:off x="0" y="0"/>
                      <a:ext cx="5272405" cy="3994785"/>
                    </a:xfrm>
                    <a:prstGeom prst="rect">
                      <a:avLst/>
                    </a:prstGeom>
                    <a:noFill/>
                    <a:ln>
                      <a:noFill/>
                    </a:ln>
                  </pic:spPr>
                </pic:pic>
              </a:graphicData>
            </a:graphic>
          </wp:inline>
        </w:drawing>
      </w:r>
    </w:p>
    <w:p>
      <w:pPr>
        <w:pStyle w:val="3"/>
      </w:pPr>
      <w:bookmarkStart w:id="10" w:name="_Toc64987038"/>
      <w:r>
        <w:rPr>
          <w:rFonts w:hint="eastAsia"/>
        </w:rPr>
        <w:t>2</w:t>
      </w:r>
      <w:r>
        <w:t>.</w:t>
      </w:r>
      <w:r>
        <w:rPr>
          <w:rFonts w:hint="eastAsia"/>
        </w:rPr>
        <w:t>考中</w:t>
      </w:r>
      <w:bookmarkEnd w:id="10"/>
    </w:p>
    <w:p>
      <w:pPr>
        <w:pStyle w:val="4"/>
      </w:pPr>
      <w:bookmarkStart w:id="11" w:name="_Toc64987039"/>
      <w:r>
        <w:t>2.1</w:t>
      </w:r>
      <w:r>
        <w:rPr>
          <w:rFonts w:hint="eastAsia"/>
        </w:rPr>
        <w:t>点击进入考场按钮</w:t>
      </w:r>
      <w:bookmarkEnd w:id="11"/>
    </w:p>
    <w:p>
      <w:pPr>
        <w:pStyle w:val="4"/>
      </w:pPr>
      <w:bookmarkStart w:id="12" w:name="_Toc64987040"/>
      <w:r>
        <w:rPr>
          <w:rFonts w:hint="eastAsia"/>
        </w:rPr>
        <w:t>2</w:t>
      </w:r>
      <w:r>
        <w:t>.2</w:t>
      </w:r>
      <w:r>
        <w:rPr>
          <w:rFonts w:hint="eastAsia"/>
        </w:rPr>
        <w:t>根据业务流程进行相应的步骤</w:t>
      </w:r>
      <w:bookmarkEnd w:id="1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1"/>
      <w:r>
        <w:rPr>
          <w:rFonts w:hint="eastAsia"/>
        </w:rPr>
        <w:t>2</w:t>
      </w:r>
      <w:r>
        <w:t>.3</w:t>
      </w:r>
      <w:r>
        <w:rPr>
          <w:rFonts w:hint="eastAsia"/>
        </w:rPr>
        <w:t>签约考试承诺书（若考试流程中没有设置该步骤则不会显示）</w:t>
      </w:r>
      <w:bookmarkEnd w:id="1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2"/>
      <w:r>
        <w:rPr>
          <w:rFonts w:hint="eastAsia"/>
        </w:rPr>
        <w:t>2</w:t>
      </w:r>
      <w:r>
        <w:t>.4</w:t>
      </w:r>
      <w:r>
        <w:rPr>
          <w:rFonts w:hint="eastAsia"/>
        </w:rPr>
        <w:t>开始考试</w:t>
      </w:r>
      <w:bookmarkEnd w:id="14"/>
    </w:p>
    <w:p>
      <w:pPr>
        <w:numPr>
          <w:ilvl w:val="0"/>
          <w:numId w:val="12"/>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pPr>
        <w:pStyle w:val="4"/>
      </w:pPr>
      <w:bookmarkStart w:id="15" w:name="_Toc64987043"/>
      <w:r>
        <w:rPr>
          <w:rFonts w:hint="eastAsia"/>
        </w:rPr>
        <w:t>2</w:t>
      </w:r>
      <w:r>
        <w:t>.5</w:t>
      </w:r>
      <w:r>
        <w:rPr>
          <w:rFonts w:hint="eastAsia"/>
        </w:rPr>
        <w:t>人脸识别</w:t>
      </w:r>
      <w:bookmarkEnd w:id="15"/>
    </w:p>
    <w:p>
      <w:pPr>
        <w:numPr>
          <w:ilvl w:val="0"/>
          <w:numId w:val="13"/>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4"/>
                    <a:stretch>
                      <a:fillRect/>
                    </a:stretch>
                  </pic:blipFill>
                  <pic:spPr>
                    <a:xfrm>
                      <a:off x="0" y="0"/>
                      <a:ext cx="5266690" cy="343789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进行活体检测和人脸识别认证</w:t>
      </w:r>
    </w:p>
    <w:p>
      <w:pPr>
        <w:numPr>
          <w:ilvl w:val="0"/>
          <w:numId w:val="13"/>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5"/>
                    <a:stretch>
                      <a:fillRect/>
                    </a:stretch>
                  </pic:blipFill>
                  <pic:spPr>
                    <a:xfrm>
                      <a:off x="0" y="0"/>
                      <a:ext cx="5266690" cy="3437890"/>
                    </a:xfrm>
                    <a:prstGeom prst="rect">
                      <a:avLst/>
                    </a:prstGeom>
                  </pic:spPr>
                </pic:pic>
              </a:graphicData>
            </a:graphic>
          </wp:inline>
        </w:drawing>
      </w:r>
    </w:p>
    <w:p>
      <w:pPr>
        <w:pStyle w:val="4"/>
      </w:pPr>
      <w:bookmarkStart w:id="16" w:name="_Toc64987044"/>
      <w:r>
        <w:rPr>
          <w:rFonts w:hint="eastAsia"/>
        </w:rPr>
        <w:t>2</w:t>
      </w:r>
      <w:r>
        <w:t>.6</w:t>
      </w:r>
      <w:r>
        <w:rPr>
          <w:rFonts w:hint="eastAsia"/>
        </w:rPr>
        <w:t>进入考试房间</w:t>
      </w:r>
      <w:bookmarkEnd w:id="16"/>
    </w:p>
    <w:p>
      <w:pPr>
        <w:pStyle w:val="5"/>
        <w:rPr>
          <w:rFonts w:ascii="微软雅黑" w:hAnsi="微软雅黑"/>
          <w:sz w:val="24"/>
          <w:szCs w:val="24"/>
          <w:lang w:eastAsia="zh-CN"/>
        </w:rPr>
      </w:pPr>
      <w:bookmarkStart w:id="17"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7"/>
    </w:p>
    <w:p>
      <w:pPr>
        <w:numPr>
          <w:ilvl w:val="0"/>
          <w:numId w:val="14"/>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876675" cy="3028950"/>
                    </a:xfrm>
                    <a:prstGeom prst="rect">
                      <a:avLst/>
                    </a:prstGeom>
                    <a:noFill/>
                    <a:ln>
                      <a:noFill/>
                    </a:ln>
                  </pic:spPr>
                </pic:pic>
              </a:graphicData>
            </a:graphic>
          </wp:inline>
        </w:drawing>
      </w:r>
    </w:p>
    <w:p>
      <w:pPr>
        <w:numPr>
          <w:ilvl w:val="0"/>
          <w:numId w:val="14"/>
        </w:numPr>
      </w:pPr>
      <w:r>
        <w:rPr>
          <w:rFonts w:hint="eastAsia" w:ascii="微软雅黑" w:hAnsi="微软雅黑" w:cs="微软雅黑"/>
        </w:rPr>
        <w:t>当候考官没有上线或者候考官正在跟别的考生进行通话时，考生无法看到候考官画面</w:t>
      </w:r>
    </w:p>
    <w:p>
      <w:pPr>
        <w:numPr>
          <w:ilvl w:val="0"/>
          <w:numId w:val="14"/>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4"/>
        </w:numPr>
      </w:pPr>
      <w:r>
        <w:rPr>
          <w:rFonts w:hint="eastAsia" w:ascii="微软雅黑" w:hAnsi="微软雅黑" w:cs="微软雅黑"/>
        </w:rPr>
        <w:t>当候考官选择与该生进行对话时，考生可以看到候考官的画面并与候考官进行音视频交流</w:t>
      </w:r>
    </w:p>
    <w:p>
      <w:pPr>
        <w:numPr>
          <w:ilvl w:val="0"/>
          <w:numId w:val="14"/>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7"/>
                    <a:stretch>
                      <a:fillRect/>
                    </a:stretch>
                  </pic:blipFill>
                  <pic:spPr>
                    <a:xfrm>
                      <a:off x="0" y="0"/>
                      <a:ext cx="5269865" cy="3295650"/>
                    </a:xfrm>
                    <a:prstGeom prst="rect">
                      <a:avLst/>
                    </a:prstGeom>
                  </pic:spPr>
                </pic:pic>
              </a:graphicData>
            </a:graphic>
          </wp:inline>
        </w:drawing>
      </w:r>
    </w:p>
    <w:p>
      <w:pPr>
        <w:numPr>
          <w:ilvl w:val="0"/>
          <w:numId w:val="14"/>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4905375" cy="394335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5"/>
        <w:rPr>
          <w:rFonts w:ascii="微软雅黑" w:hAnsi="微软雅黑"/>
          <w:sz w:val="24"/>
          <w:szCs w:val="24"/>
          <w:lang w:eastAsia="zh-CN"/>
        </w:rPr>
      </w:pPr>
      <w:bookmarkStart w:id="18"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8"/>
    </w:p>
    <w:p>
      <w:pPr>
        <w:numPr>
          <w:ilvl w:val="0"/>
          <w:numId w:val="15"/>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numPr>
          <w:ilvl w:val="0"/>
          <w:numId w:val="15"/>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numPr>
          <w:ilvl w:val="0"/>
          <w:numId w:val="15"/>
        </w:numPr>
      </w:pPr>
      <w:r>
        <w:rPr>
          <w:rFonts w:hint="eastAsia"/>
        </w:rPr>
        <w:t>开始笔试</w:t>
      </w:r>
    </w:p>
    <w:p>
      <w:pPr>
        <w:numPr>
          <w:ilvl w:val="0"/>
          <w:numId w:val="16"/>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3"/>
                    <a:stretch>
                      <a:fillRect/>
                    </a:stretch>
                  </pic:blipFill>
                  <pic:spPr>
                    <a:xfrm>
                      <a:off x="0" y="0"/>
                      <a:ext cx="5266690" cy="3291840"/>
                    </a:xfrm>
                    <a:prstGeom prst="rect">
                      <a:avLst/>
                    </a:prstGeom>
                  </pic:spPr>
                </pic:pic>
              </a:graphicData>
            </a:graphic>
          </wp:inline>
        </w:drawing>
      </w:r>
    </w:p>
    <w:p>
      <w:pPr>
        <w:pStyle w:val="2"/>
        <w:numPr>
          <w:ilvl w:val="0"/>
          <w:numId w:val="17"/>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4"/>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9" w:name="_Toc64987047"/>
      <w:r>
        <w:rPr>
          <w:lang w:eastAsia="zh-CN"/>
        </w:rPr>
        <w:t>2.</w:t>
      </w:r>
      <w:r>
        <w:rPr>
          <w:rFonts w:hint="eastAsia"/>
          <w:lang w:eastAsia="zh-CN"/>
        </w:rPr>
        <w:t>6.3纯监考</w:t>
      </w:r>
      <w:bookmarkEnd w:id="1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8"/>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pPr>
        <w:pStyle w:val="5"/>
        <w:rPr>
          <w:rFonts w:ascii="微软雅黑" w:hAnsi="微软雅黑"/>
          <w:sz w:val="24"/>
          <w:szCs w:val="24"/>
          <w:lang w:eastAsia="zh-CN"/>
        </w:rPr>
      </w:pPr>
      <w:bookmarkStart w:id="20"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20"/>
    </w:p>
    <w:p>
      <w:pPr>
        <w:numPr>
          <w:ilvl w:val="0"/>
          <w:numId w:val="19"/>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66690" cy="3291840"/>
                    </a:xfrm>
                    <a:prstGeom prst="rect">
                      <a:avLst/>
                    </a:prstGeom>
                    <a:noFill/>
                    <a:ln>
                      <a:noFill/>
                    </a:ln>
                  </pic:spPr>
                </pic:pic>
              </a:graphicData>
            </a:graphic>
          </wp:inline>
        </w:drawing>
      </w:r>
    </w:p>
    <w:p>
      <w:pPr>
        <w:pStyle w:val="2"/>
        <w:numPr>
          <w:ilvl w:val="0"/>
          <w:numId w:val="19"/>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260975" cy="3294380"/>
                    </a:xfrm>
                    <a:prstGeom prst="rect">
                      <a:avLst/>
                    </a:prstGeom>
                    <a:noFill/>
                    <a:ln>
                      <a:noFill/>
                    </a:ln>
                  </pic:spPr>
                </pic:pic>
              </a:graphicData>
            </a:graphic>
          </wp:inline>
        </w:drawing>
      </w:r>
    </w:p>
    <w:p>
      <w:pPr>
        <w:pStyle w:val="2"/>
        <w:numPr>
          <w:ilvl w:val="0"/>
          <w:numId w:val="19"/>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7325" cy="3295650"/>
                    </a:xfrm>
                    <a:prstGeom prst="rect">
                      <a:avLst/>
                    </a:prstGeom>
                    <a:noFill/>
                    <a:ln>
                      <a:noFill/>
                    </a:ln>
                  </pic:spPr>
                </pic:pic>
              </a:graphicData>
            </a:graphic>
          </wp:inline>
        </w:drawing>
      </w:r>
    </w:p>
    <w:p>
      <w:pPr>
        <w:pStyle w:val="2"/>
        <w:numPr>
          <w:ilvl w:val="0"/>
          <w:numId w:val="19"/>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Style w:val="2"/>
        <w:numPr>
          <w:ilvl w:val="0"/>
          <w:numId w:val="19"/>
        </w:numPr>
      </w:pPr>
      <w:r>
        <w:rPr>
          <w:rFonts w:hint="eastAsia"/>
        </w:rPr>
        <w:t>考生可以选择该视频作为回答，也可选择重新录制（重新录制会扣减次数）</w:t>
      </w:r>
    </w:p>
    <w:p>
      <w:pPr>
        <w:pStyle w:val="3"/>
      </w:pPr>
      <w:bookmarkStart w:id="21" w:name="_Toc64987049"/>
      <w:bookmarkStart w:id="22" w:name="_Toc17901"/>
      <w:r>
        <w:rPr>
          <w:rFonts w:hint="eastAsia"/>
        </w:rPr>
        <w:t>3</w:t>
      </w:r>
      <w:r>
        <w:t>.</w:t>
      </w:r>
      <w:r>
        <w:rPr>
          <w:rFonts w:hint="eastAsia"/>
        </w:rPr>
        <w:t>考后</w:t>
      </w:r>
      <w:bookmarkEnd w:id="21"/>
      <w:bookmarkEnd w:id="22"/>
    </w:p>
    <w:p>
      <w:pPr>
        <w:numPr>
          <w:ilvl w:val="0"/>
          <w:numId w:val="20"/>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p>
    <w:p>
      <w:pPr>
        <w:numPr>
          <w:ilvl w:val="0"/>
          <w:numId w:val="20"/>
        </w:numPr>
      </w:pPr>
      <w:r>
        <w:rPr>
          <w:rFonts w:hint="eastAsia" w:ascii="微软雅黑" w:hAnsi="微软雅黑" w:cs="微软雅黑"/>
        </w:rPr>
        <w:t>点击“关闭考试”按钮退出考场</w:t>
      </w:r>
    </w:p>
    <w:p>
      <w:pPr>
        <w:pStyle w:val="2"/>
        <w:rPr>
          <w:rFonts w:hint="default" w:ascii="微软雅黑" w:hAnsi="微软雅黑" w:eastAsia="微软雅黑" w:cs="微软雅黑"/>
          <w:lang w:val="en-US" w:eastAsia="zh-CN"/>
        </w:rPr>
      </w:pPr>
    </w:p>
    <w:p>
      <w:pPr>
        <w:pStyle w:val="2"/>
        <w:rPr>
          <w:rFonts w:hint="eastAsia" w:ascii="微软雅黑" w:hAnsi="微软雅黑" w:cs="微软雅黑"/>
        </w:rPr>
      </w:pPr>
    </w:p>
    <w:p>
      <w:pPr>
        <w:pStyle w:val="2"/>
        <w:rPr>
          <w:rFonts w:hint="eastAsia" w:ascii="微软雅黑" w:hAnsi="微软雅黑" w:cs="微软雅黑"/>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05F3627B"/>
    <w:multiLevelType w:val="singleLevel"/>
    <w:tmpl w:val="05F3627B"/>
    <w:lvl w:ilvl="0" w:tentative="0">
      <w:start w:val="1"/>
      <w:numFmt w:val="lowerLetter"/>
      <w:lvlText w:val="%1."/>
      <w:lvlJc w:val="left"/>
      <w:pPr>
        <w:ind w:left="425" w:hanging="425"/>
      </w:pPr>
      <w:rPr>
        <w:rFonts w:hint="default"/>
      </w:rPr>
    </w:lvl>
  </w:abstractNum>
  <w:abstractNum w:abstractNumId="13">
    <w:nsid w:val="182F592B"/>
    <w:multiLevelType w:val="singleLevel"/>
    <w:tmpl w:val="182F592B"/>
    <w:lvl w:ilvl="0" w:tentative="0">
      <w:start w:val="1"/>
      <w:numFmt w:val="lowerLetter"/>
      <w:lvlText w:val="%1."/>
      <w:lvlJc w:val="left"/>
      <w:pPr>
        <w:ind w:left="425" w:hanging="425"/>
      </w:pPr>
      <w:rPr>
        <w:rFonts w:hint="default"/>
      </w:rPr>
    </w:lvl>
  </w:abstractNum>
  <w:abstractNum w:abstractNumId="14">
    <w:nsid w:val="1C159E57"/>
    <w:multiLevelType w:val="singleLevel"/>
    <w:tmpl w:val="1C159E57"/>
    <w:lvl w:ilvl="0" w:tentative="0">
      <w:start w:val="1"/>
      <w:numFmt w:val="lowerLetter"/>
      <w:lvlText w:val="%1."/>
      <w:lvlJc w:val="left"/>
      <w:pPr>
        <w:ind w:left="425" w:hanging="425"/>
      </w:pPr>
      <w:rPr>
        <w:rFonts w:hint="default"/>
      </w:rPr>
    </w:lvl>
  </w:abstractNum>
  <w:abstractNum w:abstractNumId="15">
    <w:nsid w:val="3B574130"/>
    <w:multiLevelType w:val="singleLevel"/>
    <w:tmpl w:val="3B574130"/>
    <w:lvl w:ilvl="0" w:tentative="0">
      <w:start w:val="1"/>
      <w:numFmt w:val="lowerLetter"/>
      <w:lvlText w:val="%1."/>
      <w:lvlJc w:val="left"/>
      <w:pPr>
        <w:ind w:left="425" w:hanging="425"/>
      </w:pPr>
      <w:rPr>
        <w:rFonts w:hint="default"/>
      </w:rPr>
    </w:lvl>
  </w:abstractNum>
  <w:abstractNum w:abstractNumId="16">
    <w:nsid w:val="58F10A34"/>
    <w:multiLevelType w:val="singleLevel"/>
    <w:tmpl w:val="58F10A34"/>
    <w:lvl w:ilvl="0" w:tentative="0">
      <w:start w:val="1"/>
      <w:numFmt w:val="lowerLetter"/>
      <w:lvlText w:val="%1."/>
      <w:lvlJc w:val="left"/>
      <w:pPr>
        <w:ind w:left="425" w:hanging="425"/>
      </w:pPr>
      <w:rPr>
        <w:rFonts w:hint="default"/>
      </w:rPr>
    </w:lvl>
  </w:abstractNum>
  <w:abstractNum w:abstractNumId="17">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8">
    <w:nsid w:val="75CB6BC3"/>
    <w:multiLevelType w:val="singleLevel"/>
    <w:tmpl w:val="75CB6BC3"/>
    <w:lvl w:ilvl="0" w:tentative="0">
      <w:start w:val="1"/>
      <w:numFmt w:val="lowerLetter"/>
      <w:lvlText w:val="%1."/>
      <w:lvlJc w:val="left"/>
      <w:pPr>
        <w:ind w:left="425" w:hanging="425"/>
      </w:pPr>
      <w:rPr>
        <w:rFonts w:hint="default"/>
      </w:rPr>
    </w:lvl>
  </w:abstractNum>
  <w:abstractNum w:abstractNumId="19">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6FD67A3"/>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9923226"/>
    <w:rsid w:val="3F041B10"/>
    <w:rsid w:val="41A51605"/>
    <w:rsid w:val="444D4E57"/>
    <w:rsid w:val="44565E36"/>
    <w:rsid w:val="471122C1"/>
    <w:rsid w:val="48192D12"/>
    <w:rsid w:val="4BC55B54"/>
    <w:rsid w:val="4CAF3D16"/>
    <w:rsid w:val="52B466E8"/>
    <w:rsid w:val="52C6558F"/>
    <w:rsid w:val="53375D56"/>
    <w:rsid w:val="53A63729"/>
    <w:rsid w:val="542732FB"/>
    <w:rsid w:val="54E167B6"/>
    <w:rsid w:val="56176EA3"/>
    <w:rsid w:val="577B1AE1"/>
    <w:rsid w:val="598776A8"/>
    <w:rsid w:val="5B562C6D"/>
    <w:rsid w:val="5B581DA8"/>
    <w:rsid w:val="5D641E28"/>
    <w:rsid w:val="5FA21428"/>
    <w:rsid w:val="60C53CA0"/>
    <w:rsid w:val="62E426F8"/>
    <w:rsid w:val="651545D5"/>
    <w:rsid w:val="65851A14"/>
    <w:rsid w:val="658A6C71"/>
    <w:rsid w:val="66064AD8"/>
    <w:rsid w:val="67991F3D"/>
    <w:rsid w:val="6B88063F"/>
    <w:rsid w:val="6BDC0EC1"/>
    <w:rsid w:val="6BE81B5C"/>
    <w:rsid w:val="6C3B4BEA"/>
    <w:rsid w:val="6C557EC0"/>
    <w:rsid w:val="6D012C1F"/>
    <w:rsid w:val="6F4A0556"/>
    <w:rsid w:val="6F5B51AE"/>
    <w:rsid w:val="6FC46235"/>
    <w:rsid w:val="6FFC0D4D"/>
    <w:rsid w:val="748370F9"/>
    <w:rsid w:val="772C71B1"/>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9"/>
    <w:qFormat/>
    <w:uiPriority w:val="0"/>
    <w:pPr>
      <w:keepNext/>
      <w:keepLines/>
      <w:outlineLvl w:val="0"/>
    </w:pPr>
    <w:rPr>
      <w:b/>
      <w:bCs/>
      <w:kern w:val="44"/>
      <w:sz w:val="44"/>
      <w:szCs w:val="44"/>
    </w:rPr>
  </w:style>
  <w:style w:type="paragraph" w:styleId="4">
    <w:name w:val="heading 2"/>
    <w:basedOn w:val="1"/>
    <w:next w:val="1"/>
    <w:link w:val="18"/>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7"/>
    <w:unhideWhenUsed/>
    <w:qFormat/>
    <w:uiPriority w:val="0"/>
    <w:pPr>
      <w:keepNext/>
      <w:keepLines/>
      <w:outlineLvl w:val="2"/>
    </w:pPr>
    <w:rPr>
      <w:b/>
      <w:bCs/>
      <w:kern w:val="0"/>
      <w:sz w:val="28"/>
      <w:szCs w:val="32"/>
      <w:lang w:eastAsia="en-US" w:bidi="en-US"/>
    </w:rPr>
  </w:style>
  <w:style w:type="paragraph" w:styleId="6">
    <w:name w:val="heading 4"/>
    <w:basedOn w:val="1"/>
    <w:next w:val="1"/>
    <w:semiHidden/>
    <w:unhideWhenUsed/>
    <w:qFormat/>
    <w:uiPriority w:val="0"/>
    <w:pPr>
      <w:keepNext/>
      <w:keepLines/>
      <w:outlineLvl w:val="3"/>
    </w:pPr>
    <w:rPr>
      <w:rFonts w:ascii="Arial" w:hAnsi="Arial"/>
      <w:sz w:val="24"/>
    </w:rPr>
  </w:style>
  <w:style w:type="paragraph" w:styleId="7">
    <w:name w:val="heading 5"/>
    <w:basedOn w:val="1"/>
    <w:next w:val="1"/>
    <w:link w:val="23"/>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3 字符"/>
    <w:basedOn w:val="15"/>
    <w:link w:val="5"/>
    <w:qFormat/>
    <w:uiPriority w:val="0"/>
    <w:rPr>
      <w:rFonts w:eastAsia="微软雅黑" w:asciiTheme="minorHAnsi" w:hAnsiTheme="minorHAnsi"/>
      <w:b/>
      <w:bCs/>
      <w:kern w:val="0"/>
      <w:sz w:val="28"/>
      <w:szCs w:val="32"/>
      <w:lang w:eastAsia="en-US" w:bidi="en-US"/>
    </w:rPr>
  </w:style>
  <w:style w:type="character" w:customStyle="1" w:styleId="18">
    <w:name w:val="标题 2 字符"/>
    <w:basedOn w:val="15"/>
    <w:link w:val="4"/>
    <w:qFormat/>
    <w:uiPriority w:val="0"/>
    <w:rPr>
      <w:rFonts w:eastAsia="微软雅黑" w:asciiTheme="majorHAnsi" w:hAnsiTheme="majorHAnsi" w:cstheme="majorBidi"/>
      <w:b/>
      <w:bCs/>
      <w:kern w:val="2"/>
      <w:sz w:val="32"/>
      <w:szCs w:val="32"/>
    </w:rPr>
  </w:style>
  <w:style w:type="character" w:customStyle="1" w:styleId="19">
    <w:name w:val="标题 1 字符"/>
    <w:basedOn w:val="15"/>
    <w:link w:val="3"/>
    <w:qFormat/>
    <w:uiPriority w:val="9"/>
    <w:rPr>
      <w:rFonts w:eastAsia="微软雅黑" w:asciiTheme="minorHAnsi" w:hAnsiTheme="minorHAnsi"/>
      <w:b/>
      <w:bCs/>
      <w:kern w:val="0"/>
      <w:sz w:val="44"/>
      <w:szCs w:val="44"/>
      <w:lang w:eastAsia="en-US" w:bidi="en-US"/>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5"/>
    <w:link w:val="7"/>
    <w:qFormat/>
    <w:uiPriority w:val="0"/>
    <w:rPr>
      <w:rFonts w:ascii="Times" w:hAnsi="Times" w:eastAsia="微软雅黑" w:cs="Times New Roman"/>
      <w:bCs/>
      <w:sz w:val="24"/>
      <w:szCs w:val="28"/>
    </w:rPr>
  </w:style>
  <w:style w:type="character" w:customStyle="1" w:styleId="24">
    <w:name w:val="标题 字符"/>
    <w:basedOn w:val="15"/>
    <w:link w:val="13"/>
    <w:qFormat/>
    <w:uiPriority w:val="10"/>
    <w:rPr>
      <w:rFonts w:eastAsia="微软雅黑" w:asciiTheme="majorHAnsi" w:hAnsiTheme="majorHAnsi" w:cstheme="majorBidi"/>
      <w:b/>
      <w:bCs/>
      <w:sz w:val="44"/>
      <w:szCs w:val="32"/>
    </w:rPr>
  </w:style>
  <w:style w:type="paragraph" w:styleId="25">
    <w:name w:val="List Paragraph"/>
    <w:basedOn w:val="1"/>
    <w:qFormat/>
    <w:uiPriority w:val="34"/>
    <w:pPr>
      <w:jc w:val="left"/>
    </w:pPr>
    <w:rPr>
      <w:szCs w:val="22"/>
    </w:rPr>
  </w:style>
  <w:style w:type="character" w:customStyle="1" w:styleId="26">
    <w:name w:val="页眉 字符"/>
    <w:basedOn w:val="15"/>
    <w:link w:val="10"/>
    <w:qFormat/>
    <w:uiPriority w:val="0"/>
    <w:rPr>
      <w:rFonts w:eastAsia="微软雅黑" w:asciiTheme="minorHAnsi" w:hAnsiTheme="minorHAnsi" w:cstheme="minorBidi"/>
      <w:kern w:val="2"/>
      <w:sz w:val="18"/>
      <w:szCs w:val="18"/>
    </w:rPr>
  </w:style>
  <w:style w:type="character" w:customStyle="1" w:styleId="27">
    <w:name w:val="页脚 字符"/>
    <w:basedOn w:val="15"/>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0E2B-E663-474C-9C16-626DDBB2BF0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560</Words>
  <Characters>3196</Characters>
  <Lines>26</Lines>
  <Paragraphs>7</Paragraphs>
  <TotalTime>42</TotalTime>
  <ScaleCrop>false</ScaleCrop>
  <LinksUpToDate>false</LinksUpToDate>
  <CharactersWithSpaces>3749</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Administrator</cp:lastModifiedBy>
  <dcterms:modified xsi:type="dcterms:W3CDTF">2021-04-01T07:04:27Z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